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C90" w:rsidRPr="00B87422" w:rsidRDefault="006F3E2F">
      <w:pPr>
        <w:pStyle w:val="Title"/>
        <w:spacing w:before="120"/>
        <w:jc w:val="center"/>
        <w:rPr>
          <w:color w:val="4F6228" w:themeColor="accent3" w:themeShade="80"/>
          <w:sz w:val="56"/>
          <w:szCs w:val="56"/>
        </w:rPr>
      </w:pPr>
      <w:bookmarkStart w:id="0" w:name="_1puflypg55xk" w:colFirst="0" w:colLast="0"/>
      <w:bookmarkEnd w:id="0"/>
      <w:r w:rsidRPr="00B87422">
        <w:rPr>
          <w:color w:val="4F6228" w:themeColor="accent3" w:themeShade="80"/>
          <w:sz w:val="56"/>
          <w:szCs w:val="56"/>
        </w:rPr>
        <w:t>OSCQR Course Design Review</w:t>
      </w:r>
    </w:p>
    <w:p w:rsidR="00295C90" w:rsidRDefault="006F3E2F">
      <w:pPr>
        <w:widowControl w:val="0"/>
        <w:rPr>
          <w:color w:val="1C4587"/>
        </w:rPr>
      </w:pPr>
      <w:r>
        <w:rPr>
          <w:color w:val="1C4587"/>
          <w:sz w:val="16"/>
          <w:szCs w:val="16"/>
        </w:rPr>
        <w:t xml:space="preserve">Need ideas? Click on a standard below for explanations and examples from </w:t>
      </w:r>
      <w:bookmarkStart w:id="1" w:name="_GoBack"/>
      <w:r>
        <w:rPr>
          <w:color w:val="1C4587"/>
          <w:sz w:val="16"/>
          <w:szCs w:val="16"/>
        </w:rPr>
        <w:t>OSCQR</w:t>
      </w:r>
      <w:bookmarkEnd w:id="1"/>
      <w:r>
        <w:rPr>
          <w:color w:val="1C4587"/>
          <w:sz w:val="16"/>
          <w:szCs w:val="16"/>
        </w:rPr>
        <w:t>.org</w:t>
      </w:r>
    </w:p>
    <w:tbl>
      <w:tblPr>
        <w:tblStyle w:val="a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COURSE OVERVIEW AND INFORMATION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6">
              <w:r>
                <w:rPr>
                  <w:color w:val="1155CC"/>
                  <w:sz w:val="16"/>
                  <w:szCs w:val="16"/>
                  <w:u w:val="single"/>
                </w:rPr>
                <w:t>Course includes Welcome and Getting Started content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>An orientation or overview is provided for the course overall, as well as in each module. Learners know how to navigate and what tasks are due.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8">
              <w:r>
                <w:rPr>
                  <w:color w:val="1155CC"/>
                  <w:sz w:val="16"/>
                  <w:szCs w:val="16"/>
                  <w:u w:val="single"/>
                </w:rPr>
                <w:t>Course includes a Course Information area that deconstructs the syllabus for learners in a clear and navigable way.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A printable syllabus is available to learners (PDF, HTML).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Course includes links to relevant campus policies on plagiarism, computer use, filing grievances, accommodating disabilities, etc.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1">
              <w:r>
                <w:rPr>
                  <w:color w:val="1155CC"/>
                  <w:sz w:val="16"/>
                  <w:szCs w:val="16"/>
                  <w:u w:val="single"/>
                </w:rPr>
                <w:t>Course provides access to learner success resources (technical help, orientation, tutoring).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2">
              <w:r>
                <w:rPr>
                  <w:color w:val="1155CC"/>
                  <w:sz w:val="16"/>
                  <w:szCs w:val="16"/>
                  <w:u w:val="single"/>
                </w:rPr>
                <w:t>Course information states whether the course is fully online, blended, or web-enhanced.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3">
              <w:r>
                <w:rPr>
                  <w:color w:val="1155CC"/>
                  <w:sz w:val="16"/>
                  <w:szCs w:val="16"/>
                  <w:u w:val="single"/>
                </w:rPr>
                <w:t xml:space="preserve">Appropriate methods and devices for accessing and </w:t>
              </w:r>
              <w:r>
                <w:rPr>
                  <w:color w:val="1155CC"/>
                  <w:sz w:val="16"/>
                  <w:szCs w:val="16"/>
                  <w:u w:val="single"/>
                </w:rPr>
                <w:lastRenderedPageBreak/>
                <w:t>participating in the course are communicated (mobile, publisher websites, secure content, pop-ups, browser issue, microphone, webcam).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4">
              <w:r>
                <w:rPr>
                  <w:color w:val="1155CC"/>
                  <w:sz w:val="16"/>
                  <w:szCs w:val="16"/>
                  <w:u w:val="single"/>
                </w:rPr>
                <w:t>Course objectives/outcomes are clearly defined, measurable, and aligned to learning activities and assessments.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hyperlink r:id="rId15">
              <w:r>
                <w:rPr>
                  <w:color w:val="1155CC"/>
                  <w:sz w:val="16"/>
                  <w:szCs w:val="16"/>
                  <w:u w:val="single"/>
                </w:rPr>
                <w:t>Course provides contact information for instructor, department, and program.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:rsidR="00295C90" w:rsidRDefault="00295C90">
      <w:pPr>
        <w:widowControl w:val="0"/>
        <w:rPr>
          <w:color w:val="1C4587"/>
        </w:rPr>
      </w:pPr>
    </w:p>
    <w:tbl>
      <w:tblPr>
        <w:tblStyle w:val="a0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COURSE TECHNOLOGY &amp; TOOLS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16">
              <w:r>
                <w:rPr>
                  <w:color w:val="1155CC"/>
                  <w:sz w:val="16"/>
                  <w:szCs w:val="16"/>
                  <w:u w:val="single"/>
                </w:rPr>
                <w:t>Requisite skills for using technology tools (websites, software, and hardware) are clearly stated and supported with resources.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17">
              <w:r>
                <w:rPr>
                  <w:color w:val="1155CC"/>
                  <w:sz w:val="16"/>
                  <w:szCs w:val="16"/>
                  <w:u w:val="single"/>
                </w:rPr>
                <w:t>Technical skills required for participation in course learning activities scaffold in a timely manner (orientation, practice, and application – where appropriate).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18">
              <w:r>
                <w:rPr>
                  <w:color w:val="1155CC"/>
                  <w:sz w:val="16"/>
                  <w:szCs w:val="16"/>
                  <w:u w:val="single"/>
                </w:rPr>
                <w:t>Frequently used technology tools are easily accessed. Any tools not being utilized are removed from the course menu.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19">
              <w:r>
                <w:rPr>
                  <w:color w:val="1155CC"/>
                  <w:sz w:val="16"/>
                  <w:szCs w:val="16"/>
                  <w:u w:val="single"/>
                </w:rPr>
                <w:t>Course includes links to privacy policies for technology tools.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0">
              <w:r>
                <w:rPr>
                  <w:color w:val="1155CC"/>
                  <w:sz w:val="16"/>
                  <w:szCs w:val="16"/>
                  <w:u w:val="single"/>
                </w:rPr>
                <w:t>Any technology tools meet accessibility standards.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5C90" w:rsidRDefault="00295C90">
      <w:pPr>
        <w:widowControl w:val="0"/>
        <w:rPr>
          <w:color w:val="1C4587"/>
        </w:rPr>
      </w:pPr>
    </w:p>
    <w:tbl>
      <w:tblPr>
        <w:tblStyle w:val="a1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3.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DESIGN AND LAYOUT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1">
              <w:r>
                <w:rPr>
                  <w:color w:val="1155CC"/>
                  <w:sz w:val="16"/>
                  <w:szCs w:val="16"/>
                  <w:u w:val="single"/>
                </w:rPr>
                <w:t xml:space="preserve">A logical, consistent, and uncluttered layout is established. The course is easy to navigate (consistent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color</w:t>
              </w:r>
              <w:proofErr w:type="spellEnd"/>
              <w:r>
                <w:rPr>
                  <w:color w:val="1155CC"/>
                  <w:sz w:val="16"/>
                  <w:szCs w:val="16"/>
                  <w:u w:val="single"/>
                </w:rPr>
                <w:t xml:space="preserve"> scheme and icon layout, related content organized together, self-evident titles).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2">
              <w:r>
                <w:rPr>
                  <w:color w:val="1155CC"/>
                  <w:sz w:val="16"/>
                  <w:szCs w:val="16"/>
                  <w:u w:val="single"/>
                </w:rPr>
                <w:t>Large blocks of information are divided into manageable sections with ample white space around and between the blocks.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3">
              <w:r>
                <w:rPr>
                  <w:color w:val="1155CC"/>
                  <w:sz w:val="16"/>
                  <w:szCs w:val="16"/>
                  <w:u w:val="single"/>
                </w:rPr>
                <w:t>There is enough contrast between text and background for the content to be easily viewed.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4">
              <w:r>
                <w:rPr>
                  <w:color w:val="1155CC"/>
                  <w:sz w:val="16"/>
                  <w:szCs w:val="16"/>
                  <w:u w:val="single"/>
                </w:rPr>
                <w:t>Instructions are provided and well written.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5">
              <w:r>
                <w:rPr>
                  <w:color w:val="1155CC"/>
                  <w:sz w:val="16"/>
                  <w:szCs w:val="16"/>
                  <w:u w:val="single"/>
                </w:rPr>
                <w:t>Course is free of grammatical and spelling errors.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6">
              <w:r>
                <w:rPr>
                  <w:color w:val="1155CC"/>
                  <w:sz w:val="16"/>
                  <w:szCs w:val="16"/>
                  <w:u w:val="single"/>
                </w:rPr>
                <w:t>Text is formatted with titles, headings, and other styles to enhance readability and improve the structure of the document.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7">
              <w:r>
                <w:rPr>
                  <w:color w:val="1155CC"/>
                  <w:sz w:val="16"/>
                  <w:szCs w:val="16"/>
                  <w:u w:val="single"/>
                </w:rPr>
                <w:t>Flashing and blinking text are avoided.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8">
              <w:r>
                <w:rPr>
                  <w:color w:val="1155CC"/>
                  <w:sz w:val="16"/>
                  <w:szCs w:val="16"/>
                  <w:u w:val="single"/>
                </w:rPr>
                <w:t xml:space="preserve">A sans-serif font with a standard size of at least 12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pt</w:t>
              </w:r>
              <w:proofErr w:type="spellEnd"/>
              <w:r>
                <w:rPr>
                  <w:color w:val="1155CC"/>
                  <w:sz w:val="16"/>
                  <w:szCs w:val="16"/>
                  <w:u w:val="single"/>
                </w:rPr>
                <w:t xml:space="preserve"> is used.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29">
              <w:r>
                <w:rPr>
                  <w:color w:val="1155CC"/>
                  <w:sz w:val="16"/>
                  <w:szCs w:val="16"/>
                  <w:u w:val="single"/>
                </w:rPr>
                <w:t>When possible, information is displayed in a linear format instead of as a table.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0">
              <w:r>
                <w:rPr>
                  <w:color w:val="1155CC"/>
                  <w:sz w:val="16"/>
                  <w:szCs w:val="16"/>
                  <w:u w:val="single"/>
                </w:rPr>
                <w:t>Tables are accompanied by a title and summary description.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1">
              <w:r>
                <w:rPr>
                  <w:color w:val="1155CC"/>
                  <w:sz w:val="16"/>
                  <w:szCs w:val="16"/>
                  <w:u w:val="single"/>
                </w:rPr>
                <w:t>Table header rows and columns are assigned.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2">
              <w:r>
                <w:rPr>
                  <w:color w:val="1155CC"/>
                  <w:sz w:val="16"/>
                  <w:szCs w:val="16"/>
                  <w:u w:val="single"/>
                </w:rPr>
                <w:t>Slideshows use a predefined slide layout and include unique slide titles.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3">
              <w:r>
                <w:rPr>
                  <w:color w:val="1155CC"/>
                  <w:sz w:val="16"/>
                  <w:szCs w:val="16"/>
                  <w:u w:val="single"/>
                </w:rPr>
                <w:t>For all slideshows, there are simple, non-automatic transitions between slides.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5C90" w:rsidRDefault="00295C90">
      <w:pPr>
        <w:widowControl w:val="0"/>
        <w:rPr>
          <w:color w:val="1C4587"/>
        </w:rPr>
      </w:pPr>
    </w:p>
    <w:tbl>
      <w:tblPr>
        <w:tblStyle w:val="a2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CONTENT AND ACTIVITIES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4">
              <w:r>
                <w:rPr>
                  <w:color w:val="1155CC"/>
                  <w:sz w:val="16"/>
                  <w:szCs w:val="16"/>
                  <w:u w:val="single"/>
                </w:rPr>
                <w:t>Course offers access to a variety of engaging resources that facilitate communication and collaboration, deliver content, and support learning and engagement.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5">
              <w:r>
                <w:rPr>
                  <w:color w:val="1155CC"/>
                  <w:sz w:val="16"/>
                  <w:szCs w:val="16"/>
                  <w:u w:val="single"/>
                </w:rPr>
                <w:t>Course provides activities for learners to develop higher-order thinking and problem solving skills, such as critical reflection and analysis.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6">
              <w:r>
                <w:rPr>
                  <w:color w:val="1155CC"/>
                  <w:sz w:val="16"/>
                  <w:szCs w:val="16"/>
                  <w:u w:val="single"/>
                </w:rPr>
                <w:t>Course provides activities that emulate real world applications of the discipline, such as experiential learning, case studies, and problem-based activities.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7">
              <w:r>
                <w:rPr>
                  <w:color w:val="1155CC"/>
                  <w:sz w:val="16"/>
                  <w:szCs w:val="16"/>
                  <w:u w:val="single"/>
                </w:rPr>
                <w:t>Where available, Open Educational Resources, free, or low cost materials are used.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8">
              <w:r>
                <w:rPr>
                  <w:color w:val="1155CC"/>
                  <w:sz w:val="16"/>
                  <w:szCs w:val="16"/>
                  <w:u w:val="single"/>
                </w:rPr>
                <w:t>Course materials and resources include copyright and licensing status, clearly stating permission to share where applicable.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39">
              <w:r>
                <w:rPr>
                  <w:color w:val="1155CC"/>
                  <w:sz w:val="16"/>
                  <w:szCs w:val="16"/>
                  <w:u w:val="single"/>
                </w:rPr>
                <w:t>Text content is available in an easily accessed format, preferably HTML. All text content is readable by assistive technology, including a PDF or any text contained in an image.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0">
              <w:r>
                <w:rPr>
                  <w:color w:val="1155CC"/>
                  <w:sz w:val="16"/>
                  <w:szCs w:val="16"/>
                  <w:u w:val="single"/>
                </w:rPr>
                <w:t>A text equivalent for every non-text element is provided (“alt” tags, captions, transcripts, etc.).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1">
              <w:r>
                <w:rPr>
                  <w:color w:val="1155CC"/>
                  <w:sz w:val="16"/>
                  <w:szCs w:val="16"/>
                  <w:u w:val="single"/>
                </w:rPr>
                <w:t xml:space="preserve">Text, graphics, and images are understandable when viewed without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color</w:t>
              </w:r>
              <w:proofErr w:type="spellEnd"/>
              <w:r>
                <w:rPr>
                  <w:color w:val="1155CC"/>
                  <w:sz w:val="16"/>
                  <w:szCs w:val="16"/>
                  <w:u w:val="single"/>
                </w:rPr>
                <w:t>. Text should be used as a primary method for delivering information.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2">
              <w:r>
                <w:rPr>
                  <w:color w:val="1155CC"/>
                  <w:sz w:val="16"/>
                  <w:szCs w:val="16"/>
                  <w:u w:val="single"/>
                </w:rPr>
                <w:t>Hyperlink text is descriptive and makes sense when out of context (avoid using “click here”).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5C90" w:rsidRDefault="00295C90">
      <w:pPr>
        <w:widowControl w:val="0"/>
        <w:rPr>
          <w:color w:val="1C4587"/>
        </w:rPr>
      </w:pPr>
    </w:p>
    <w:tbl>
      <w:tblPr>
        <w:tblStyle w:val="a3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INTERACTION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3">
              <w:r>
                <w:rPr>
                  <w:color w:val="1155CC"/>
                  <w:sz w:val="16"/>
                  <w:szCs w:val="16"/>
                  <w:u w:val="single"/>
                </w:rPr>
                <w:t>Expectations for timely and regular feedback from the instructor are clearly stated (questions, email, assignments).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4">
              <w:r>
                <w:rPr>
                  <w:color w:val="1155CC"/>
                  <w:sz w:val="16"/>
                  <w:szCs w:val="16"/>
                  <w:u w:val="single"/>
                </w:rPr>
                <w:t>Expectations for interaction are clearly stated (netiquette, grade weighting, models/examples, and timing and frequency of contributions).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5">
              <w:r>
                <w:rPr>
                  <w:color w:val="1155CC"/>
                  <w:sz w:val="16"/>
                  <w:szCs w:val="16"/>
                  <w:u w:val="single"/>
                </w:rPr>
                <w:t>Learners have an opportunity to get to know the instructor.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6">
              <w:r>
                <w:rPr>
                  <w:color w:val="1155CC"/>
                  <w:sz w:val="16"/>
                  <w:szCs w:val="16"/>
                  <w:u w:val="single"/>
                </w:rPr>
                <w:t>Course contains resources or activities intended to build a sense of class community, support open communication, and establish trust (at least one of the following – Icebreaker, Bulletin Board, Meet Your Classmates, Ask a Question discussion forums).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7">
              <w:r>
                <w:rPr>
                  <w:color w:val="1155CC"/>
                  <w:sz w:val="16"/>
                  <w:szCs w:val="16"/>
                  <w:u w:val="single"/>
                </w:rPr>
                <w:t>Course offers opportunities for learner to learner interaction and constructive collaboration.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8">
              <w:r>
                <w:rPr>
                  <w:color w:val="1155CC"/>
                  <w:sz w:val="16"/>
                  <w:szCs w:val="16"/>
                  <w:u w:val="single"/>
                </w:rPr>
                <w:t>Learners are encouraged to share resources and inject knowledge from diverse sources of information in their course interactions.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5C90" w:rsidRDefault="00295C90">
      <w:pPr>
        <w:widowControl w:val="0"/>
        <w:rPr>
          <w:color w:val="1C4587"/>
        </w:rPr>
      </w:pPr>
    </w:p>
    <w:tbl>
      <w:tblPr>
        <w:tblStyle w:val="a4"/>
        <w:tblW w:w="139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605"/>
        <w:gridCol w:w="1125"/>
        <w:gridCol w:w="1125"/>
        <w:gridCol w:w="1125"/>
        <w:gridCol w:w="1125"/>
        <w:gridCol w:w="1125"/>
        <w:gridCol w:w="3360"/>
      </w:tblGrid>
      <w:tr w:rsidR="00295C90">
        <w:trPr>
          <w:trHeight w:val="360"/>
        </w:trPr>
        <w:tc>
          <w:tcPr>
            <w:tcW w:w="5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jc w:val="right"/>
              <w:rPr>
                <w:sz w:val="16"/>
                <w:szCs w:val="16"/>
              </w:rPr>
            </w:pPr>
          </w:p>
          <w:p w:rsidR="00295C90" w:rsidRDefault="006F3E2F">
            <w:pPr>
              <w:widowControl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time needed for revision: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Sufficiently Present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hour or less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Moderate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- 2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Revision</w:t>
            </w:r>
          </w:p>
          <w:p w:rsidR="00295C90" w:rsidRDefault="006F3E2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2+ hours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 Applicable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Action Plan</w:t>
            </w:r>
          </w:p>
        </w:tc>
      </w:tr>
      <w:tr w:rsidR="00295C90">
        <w:trPr>
          <w:trHeight w:val="420"/>
        </w:trPr>
        <w:tc>
          <w:tcPr>
            <w:tcW w:w="40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6.</w:t>
            </w:r>
          </w:p>
        </w:tc>
        <w:tc>
          <w:tcPr>
            <w:tcW w:w="13590" w:type="dxa"/>
            <w:gridSpan w:val="7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ASSESSMENT AND FEEDBACK</w:t>
            </w: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49">
              <w:r>
                <w:rPr>
                  <w:color w:val="1155CC"/>
                  <w:sz w:val="16"/>
                  <w:szCs w:val="16"/>
                  <w:u w:val="single"/>
                </w:rPr>
                <w:t>Course grading policies, including consequences of late submissions, are clearly stated in the course information area or syllabus.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0">
              <w:r>
                <w:rPr>
                  <w:color w:val="1155CC"/>
                  <w:sz w:val="16"/>
                  <w:szCs w:val="16"/>
                  <w:u w:val="single"/>
                </w:rPr>
                <w:t>Course includes frequent and appropriate methods to assess learners’ mastery of content.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1">
              <w:r>
                <w:rPr>
                  <w:color w:val="1155CC"/>
                  <w:sz w:val="16"/>
                  <w:szCs w:val="16"/>
                  <w:u w:val="single"/>
                </w:rPr>
                <w:t>Criteria for the assessment of a graded assignment are clearly articulated (rubrics, exemplary work).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2">
              <w:r>
                <w:rPr>
                  <w:color w:val="1155CC"/>
                  <w:sz w:val="16"/>
                  <w:szCs w:val="16"/>
                  <w:u w:val="single"/>
                </w:rPr>
                <w:t>Learners have opportunities to review their performance and assess their own learning throughout the course (pre-tests, automated self-tests, reflective assignments, etc.).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3">
              <w:r>
                <w:rPr>
                  <w:color w:val="1155CC"/>
                  <w:sz w:val="16"/>
                  <w:szCs w:val="16"/>
                  <w:u w:val="single"/>
                </w:rPr>
                <w:t>Learners are informed when a timed response is required. Proper lead time is provided to ensure there is an opportunity to prepare an accommodation.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4">
              <w:r>
                <w:rPr>
                  <w:color w:val="1155CC"/>
                  <w:sz w:val="16"/>
                  <w:szCs w:val="16"/>
                  <w:u w:val="single"/>
                </w:rPr>
                <w:t xml:space="preserve">Learners have easy access to a </w:t>
              </w:r>
              <w:proofErr w:type="spellStart"/>
              <w:r>
                <w:rPr>
                  <w:color w:val="1155CC"/>
                  <w:sz w:val="16"/>
                  <w:szCs w:val="16"/>
                  <w:u w:val="single"/>
                </w:rPr>
                <w:t>well designed</w:t>
              </w:r>
              <w:proofErr w:type="spellEnd"/>
              <w:r>
                <w:rPr>
                  <w:color w:val="1155CC"/>
                  <w:sz w:val="16"/>
                  <w:szCs w:val="16"/>
                  <w:u w:val="single"/>
                </w:rPr>
                <w:t xml:space="preserve"> and up-to-date gradebook.</w:t>
              </w:r>
            </w:hyperlink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  <w:tr w:rsidR="00295C90">
        <w:tc>
          <w:tcPr>
            <w:tcW w:w="4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6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6F3E2F">
            <w:pPr>
              <w:widowControl w:val="0"/>
              <w:rPr>
                <w:sz w:val="16"/>
                <w:szCs w:val="16"/>
              </w:rPr>
            </w:pPr>
            <w:hyperlink r:id="rId55">
              <w:r>
                <w:rPr>
                  <w:color w:val="1155CC"/>
                  <w:sz w:val="16"/>
                  <w:szCs w:val="16"/>
                  <w:u w:val="single"/>
                </w:rPr>
                <w:t>Learners have multiple opportunities to provide descriptive feedback on course design, course content, course experience, and ease of online technology.</w:t>
              </w:r>
            </w:hyperlink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rPr>
                <w:sz w:val="16"/>
                <w:szCs w:val="16"/>
              </w:rPr>
            </w:pPr>
          </w:p>
        </w:tc>
      </w:tr>
    </w:tbl>
    <w:p w:rsidR="00295C90" w:rsidRDefault="00295C90"/>
    <w:p w:rsidR="00295C90" w:rsidRDefault="006F3E2F">
      <w:pPr>
        <w:widowControl w:val="0"/>
        <w:jc w:val="center"/>
      </w:pPr>
      <w:r>
        <w:rPr>
          <w:b/>
        </w:rPr>
        <w:t>OVERALL NARRATIVE</w:t>
      </w:r>
    </w:p>
    <w:tbl>
      <w:tblPr>
        <w:tblStyle w:val="a5"/>
        <w:tblW w:w="1395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295C90">
        <w:tc>
          <w:tcPr>
            <w:tcW w:w="1395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5C90" w:rsidRDefault="00295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295C90" w:rsidRDefault="00295C90"/>
    <w:sectPr w:rsidR="00295C90">
      <w:headerReference w:type="default" r:id="rId56"/>
      <w:footerReference w:type="default" r:id="rId57"/>
      <w:headerReference w:type="first" r:id="rId58"/>
      <w:footerReference w:type="first" r:id="rId59"/>
      <w:pgSz w:w="16838" w:h="11906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3E2F" w:rsidRDefault="006F3E2F">
      <w:r>
        <w:separator/>
      </w:r>
    </w:p>
  </w:endnote>
  <w:endnote w:type="continuationSeparator" w:id="0">
    <w:p w:rsidR="006F3E2F" w:rsidRDefault="006F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C90" w:rsidRDefault="00295C90">
    <w:pPr>
      <w:rPr>
        <w:sz w:val="16"/>
        <w:szCs w:val="16"/>
      </w:rPr>
    </w:pPr>
  </w:p>
  <w:tbl>
    <w:tblPr>
      <w:tblStyle w:val="a6"/>
      <w:tblW w:w="13958" w:type="dxa"/>
      <w:tblInd w:w="100" w:type="dxa"/>
      <w:tblLayout w:type="fixed"/>
      <w:tblLook w:val="0600" w:firstRow="0" w:lastRow="0" w:firstColumn="0" w:lastColumn="0" w:noHBand="1" w:noVBand="1"/>
    </w:tblPr>
    <w:tblGrid>
      <w:gridCol w:w="2385"/>
      <w:gridCol w:w="4575"/>
      <w:gridCol w:w="3499"/>
      <w:gridCol w:w="3499"/>
    </w:tblGrid>
    <w:tr w:rsidR="00295C90">
      <w:trPr>
        <w:trHeight w:val="500"/>
      </w:trPr>
      <w:tc>
        <w:tcPr>
          <w:tcW w:w="23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45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200"/>
            <w:jc w:val="center"/>
            <w:rPr>
              <w:sz w:val="16"/>
              <w:szCs w:val="16"/>
            </w:rPr>
          </w:pPr>
        </w:p>
      </w:tc>
      <w:tc>
        <w:tcPr>
          <w:tcW w:w="34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</w:p>
      </w:tc>
      <w:tc>
        <w:tcPr>
          <w:tcW w:w="349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6"/>
              <w:szCs w:val="16"/>
            </w:rPr>
          </w:pPr>
        </w:p>
      </w:tc>
    </w:tr>
    <w:tr w:rsidR="00295C90">
      <w:trPr>
        <w:trHeight w:val="360"/>
      </w:trPr>
      <w:tc>
        <w:tcPr>
          <w:tcW w:w="23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</w:p>
      </w:tc>
      <w:tc>
        <w:tcPr>
          <w:tcW w:w="11573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 w:rsidR="00B87422">
            <w:rPr>
              <w:sz w:val="16"/>
              <w:szCs w:val="16"/>
            </w:rPr>
            <w:fldChar w:fldCharType="separate"/>
          </w:r>
          <w:r w:rsidR="00B8742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 w:rsidR="00B87422">
            <w:rPr>
              <w:sz w:val="16"/>
              <w:szCs w:val="16"/>
            </w:rPr>
            <w:fldChar w:fldCharType="separate"/>
          </w:r>
          <w:r w:rsidR="00B87422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295C90" w:rsidRDefault="00295C90">
    <w:pPr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C90" w:rsidRDefault="00295C90">
    <w:pPr>
      <w:rPr>
        <w:sz w:val="16"/>
        <w:szCs w:val="16"/>
      </w:rPr>
    </w:pPr>
  </w:p>
  <w:tbl>
    <w:tblPr>
      <w:tblStyle w:val="a7"/>
      <w:tblW w:w="13950" w:type="dxa"/>
      <w:tblInd w:w="100" w:type="dxa"/>
      <w:tblLayout w:type="fixed"/>
      <w:tblLook w:val="0600" w:firstRow="0" w:lastRow="0" w:firstColumn="0" w:lastColumn="0" w:noHBand="1" w:noVBand="1"/>
    </w:tblPr>
    <w:tblGrid>
      <w:gridCol w:w="2385"/>
      <w:gridCol w:w="3480"/>
      <w:gridCol w:w="4125"/>
      <w:gridCol w:w="3960"/>
    </w:tblGrid>
    <w:tr w:rsidR="00295C90">
      <w:tc>
        <w:tcPr>
          <w:tcW w:w="23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295C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</w:p>
      </w:tc>
      <w:tc>
        <w:tcPr>
          <w:tcW w:w="3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>
                <wp:extent cx="2076450" cy="508000"/>
                <wp:effectExtent l="0" t="0" r="0" b="0"/>
                <wp:docPr id="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>
                <wp:extent cx="928688" cy="525318"/>
                <wp:effectExtent l="0" t="0" r="0" b="0"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688" cy="5253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6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>
                <wp:extent cx="2381250" cy="393700"/>
                <wp:effectExtent l="0" t="0" r="0" b="0"/>
                <wp:docPr id="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0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95C90">
      <w:trPr>
        <w:trHeight w:val="360"/>
      </w:trPr>
      <w:tc>
        <w:tcPr>
          <w:tcW w:w="238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114300" distB="114300" distL="114300" distR="114300">
                <wp:extent cx="1281113" cy="447512"/>
                <wp:effectExtent l="0" t="0" r="0" b="0"/>
                <wp:docPr id="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13" cy="4475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The OSCQR Rubric, Dashboard, and Process are made available by Online Learning Consortium, Inc. (OLC) under the Creative Commons Attribution 4.0 International License (CC By 4.0). To view a copy of this license, visit </w:t>
          </w:r>
          <w:hyperlink r:id="rId5">
            <w:r>
              <w:rPr>
                <w:color w:val="1155CC"/>
                <w:sz w:val="16"/>
                <w:szCs w:val="16"/>
                <w:u w:val="single"/>
              </w:rPr>
              <w:t>https://creativecommons.org/licenses/by/4.0/</w:t>
            </w:r>
          </w:hyperlink>
          <w:r>
            <w:rPr>
              <w:sz w:val="16"/>
              <w:szCs w:val="16"/>
            </w:rPr>
            <w:t xml:space="preserve">. The OSCQR Rubric, Dashboard and Process were originally developed by the State University of New York, through the Open SUNY® </w:t>
          </w:r>
          <w:proofErr w:type="spellStart"/>
          <w:r>
            <w:rPr>
              <w:sz w:val="16"/>
              <w:szCs w:val="16"/>
            </w:rPr>
            <w:t>Center</w:t>
          </w:r>
          <w:proofErr w:type="spellEnd"/>
          <w:r>
            <w:rPr>
              <w:sz w:val="16"/>
              <w:szCs w:val="16"/>
            </w:rPr>
            <w:t xml:space="preserve"> for Online Teaching Excellence (</w:t>
          </w:r>
          <w:hyperlink r:id="rId6">
            <w:r>
              <w:rPr>
                <w:color w:val="1155CC"/>
                <w:sz w:val="16"/>
                <w:szCs w:val="16"/>
                <w:u w:val="single"/>
              </w:rPr>
              <w:t>http://commons.suny.edu/cote/</w:t>
            </w:r>
          </w:hyperlink>
          <w:r>
            <w:rPr>
              <w:sz w:val="16"/>
              <w:szCs w:val="16"/>
            </w:rPr>
            <w:t>). Open SUNY and its logo are registered trademarks of the State University of New York.</w:t>
          </w:r>
        </w:p>
      </w:tc>
    </w:tr>
  </w:tbl>
  <w:p w:rsidR="00295C90" w:rsidRDefault="00295C90">
    <w:pPr>
      <w:rPr>
        <w:sz w:val="16"/>
        <w:szCs w:val="16"/>
      </w:rPr>
    </w:pPr>
  </w:p>
  <w:p w:rsidR="00295C90" w:rsidRDefault="00295C90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3E2F" w:rsidRDefault="006F3E2F">
      <w:r>
        <w:separator/>
      </w:r>
    </w:p>
  </w:footnote>
  <w:footnote w:type="continuationSeparator" w:id="0">
    <w:p w:rsidR="006F3E2F" w:rsidRDefault="006F3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C90" w:rsidRDefault="00295C90"/>
  <w:tbl>
    <w:tblPr>
      <w:tblStyle w:val="a8"/>
      <w:tblW w:w="13958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958"/>
    </w:tblGrid>
    <w:tr w:rsidR="00295C90">
      <w:tc>
        <w:tcPr>
          <w:tcW w:w="13958" w:type="dxa"/>
          <w:shd w:val="clear" w:color="auto" w:fill="4A86E8"/>
          <w:tcMar>
            <w:top w:w="100" w:type="dxa"/>
            <w:left w:w="100" w:type="dxa"/>
            <w:bottom w:w="100" w:type="dxa"/>
            <w:right w:w="100" w:type="dxa"/>
          </w:tcMar>
        </w:tcPr>
        <w:p w:rsidR="00295C90" w:rsidRDefault="006F3E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OLC QUALITY SCORECARD SUITE: OSCQR</w:t>
          </w:r>
        </w:p>
      </w:tc>
    </w:tr>
  </w:tbl>
  <w:p w:rsidR="00295C90" w:rsidRDefault="00295C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5C90" w:rsidRDefault="00295C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90"/>
    <w:rsid w:val="00295C90"/>
    <w:rsid w:val="006E1F78"/>
    <w:rsid w:val="006F3E2F"/>
    <w:rsid w:val="00B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BA66785-400A-BA41-976E-1081F1D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75" w:lineRule="auto"/>
      <w:outlineLvl w:val="0"/>
    </w:pPr>
    <w:rPr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75" w:lineRule="auto"/>
      <w:outlineLvl w:val="1"/>
    </w:pPr>
    <w:rPr>
      <w:b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75" w:lineRule="auto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75" w:lineRule="auto"/>
      <w:outlineLvl w:val="3"/>
    </w:pPr>
    <w:rPr>
      <w:b/>
      <w:i/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19" w:after="40" w:line="275" w:lineRule="auto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 w:line="275" w:lineRule="auto"/>
      <w:outlineLvl w:val="5"/>
    </w:pPr>
    <w:rPr>
      <w:b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F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scqr.org/standard8/" TargetMode="External"/><Relationship Id="rId18" Type="http://schemas.openxmlformats.org/officeDocument/2006/relationships/hyperlink" Target="http://oscqr.org/standard13/" TargetMode="External"/><Relationship Id="rId26" Type="http://schemas.openxmlformats.org/officeDocument/2006/relationships/hyperlink" Target="http://oscqr.org/standard21/" TargetMode="External"/><Relationship Id="rId39" Type="http://schemas.openxmlformats.org/officeDocument/2006/relationships/hyperlink" Target="http://oscqr.org/standard34/" TargetMode="External"/><Relationship Id="rId21" Type="http://schemas.openxmlformats.org/officeDocument/2006/relationships/hyperlink" Target="http://oscqr.org/standard16/" TargetMode="External"/><Relationship Id="rId34" Type="http://schemas.openxmlformats.org/officeDocument/2006/relationships/hyperlink" Target="http://oscqr.org/standard29/" TargetMode="External"/><Relationship Id="rId42" Type="http://schemas.openxmlformats.org/officeDocument/2006/relationships/hyperlink" Target="http://oscqr.org/standard37/" TargetMode="External"/><Relationship Id="rId47" Type="http://schemas.openxmlformats.org/officeDocument/2006/relationships/hyperlink" Target="http://oscqr.org/standard42/" TargetMode="External"/><Relationship Id="rId50" Type="http://schemas.openxmlformats.org/officeDocument/2006/relationships/hyperlink" Target="http://oscqr.org/standard45/" TargetMode="External"/><Relationship Id="rId55" Type="http://schemas.openxmlformats.org/officeDocument/2006/relationships/hyperlink" Target="http://oscqr.org/standard50/" TargetMode="External"/><Relationship Id="rId7" Type="http://schemas.openxmlformats.org/officeDocument/2006/relationships/hyperlink" Target="http://oscqr.org/standard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scqr.org/standard11/" TargetMode="External"/><Relationship Id="rId29" Type="http://schemas.openxmlformats.org/officeDocument/2006/relationships/hyperlink" Target="http://oscqr.org/standard24/" TargetMode="External"/><Relationship Id="rId11" Type="http://schemas.openxmlformats.org/officeDocument/2006/relationships/hyperlink" Target="http://oscqr.org/standard6/" TargetMode="External"/><Relationship Id="rId24" Type="http://schemas.openxmlformats.org/officeDocument/2006/relationships/hyperlink" Target="http://oscqr.org/standard19/" TargetMode="External"/><Relationship Id="rId32" Type="http://schemas.openxmlformats.org/officeDocument/2006/relationships/hyperlink" Target="http://oscqr.org/standard27/" TargetMode="External"/><Relationship Id="rId37" Type="http://schemas.openxmlformats.org/officeDocument/2006/relationships/hyperlink" Target="http://oscqr.org/standard32/" TargetMode="External"/><Relationship Id="rId40" Type="http://schemas.openxmlformats.org/officeDocument/2006/relationships/hyperlink" Target="http://oscqr.org/standard35/" TargetMode="External"/><Relationship Id="rId45" Type="http://schemas.openxmlformats.org/officeDocument/2006/relationships/hyperlink" Target="http://oscqr.org/standard40/" TargetMode="External"/><Relationship Id="rId53" Type="http://schemas.openxmlformats.org/officeDocument/2006/relationships/hyperlink" Target="http://oscqr.org/standard48/" TargetMode="External"/><Relationship Id="rId58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://oscqr.org/standard14/" TargetMode="External"/><Relationship Id="rId14" Type="http://schemas.openxmlformats.org/officeDocument/2006/relationships/hyperlink" Target="http://oscqr.org/standard9/" TargetMode="External"/><Relationship Id="rId22" Type="http://schemas.openxmlformats.org/officeDocument/2006/relationships/hyperlink" Target="http://oscqr.org/standard17/" TargetMode="External"/><Relationship Id="rId27" Type="http://schemas.openxmlformats.org/officeDocument/2006/relationships/hyperlink" Target="http://oscqr.org/standard22/" TargetMode="External"/><Relationship Id="rId30" Type="http://schemas.openxmlformats.org/officeDocument/2006/relationships/hyperlink" Target="http://oscqr.org/standard25/" TargetMode="External"/><Relationship Id="rId35" Type="http://schemas.openxmlformats.org/officeDocument/2006/relationships/hyperlink" Target="http://oscqr.org/standard30/" TargetMode="External"/><Relationship Id="rId43" Type="http://schemas.openxmlformats.org/officeDocument/2006/relationships/hyperlink" Target="http://oscqr.org/standard38/" TargetMode="External"/><Relationship Id="rId48" Type="http://schemas.openxmlformats.org/officeDocument/2006/relationships/hyperlink" Target="http://oscqr.org/standard43/" TargetMode="External"/><Relationship Id="rId56" Type="http://schemas.openxmlformats.org/officeDocument/2006/relationships/header" Target="header1.xml"/><Relationship Id="rId8" Type="http://schemas.openxmlformats.org/officeDocument/2006/relationships/hyperlink" Target="http://oscqr.org/standard3/" TargetMode="External"/><Relationship Id="rId51" Type="http://schemas.openxmlformats.org/officeDocument/2006/relationships/hyperlink" Target="http://oscqr.org/standard4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scqr.org/standard7/" TargetMode="External"/><Relationship Id="rId17" Type="http://schemas.openxmlformats.org/officeDocument/2006/relationships/hyperlink" Target="http://oscqr.org/standard12/" TargetMode="External"/><Relationship Id="rId25" Type="http://schemas.openxmlformats.org/officeDocument/2006/relationships/hyperlink" Target="http://oscqr.org/standard20/" TargetMode="External"/><Relationship Id="rId33" Type="http://schemas.openxmlformats.org/officeDocument/2006/relationships/hyperlink" Target="http://oscqr.org/standard28/" TargetMode="External"/><Relationship Id="rId38" Type="http://schemas.openxmlformats.org/officeDocument/2006/relationships/hyperlink" Target="http://oscqr.org/standard33/" TargetMode="External"/><Relationship Id="rId46" Type="http://schemas.openxmlformats.org/officeDocument/2006/relationships/hyperlink" Target="http://oscqr.org/standard41/" TargetMode="External"/><Relationship Id="rId59" Type="http://schemas.openxmlformats.org/officeDocument/2006/relationships/footer" Target="footer2.xml"/><Relationship Id="rId20" Type="http://schemas.openxmlformats.org/officeDocument/2006/relationships/hyperlink" Target="http://oscqr.org/standard15/" TargetMode="External"/><Relationship Id="rId41" Type="http://schemas.openxmlformats.org/officeDocument/2006/relationships/hyperlink" Target="http://oscqr.org/standard36/" TargetMode="External"/><Relationship Id="rId54" Type="http://schemas.openxmlformats.org/officeDocument/2006/relationships/hyperlink" Target="http://oscqr.org/standard49/" TargetMode="External"/><Relationship Id="rId1" Type="http://schemas.openxmlformats.org/officeDocument/2006/relationships/styles" Target="styles.xml"/><Relationship Id="rId6" Type="http://schemas.openxmlformats.org/officeDocument/2006/relationships/hyperlink" Target="http://oscqr.org/standard1/" TargetMode="External"/><Relationship Id="rId15" Type="http://schemas.openxmlformats.org/officeDocument/2006/relationships/hyperlink" Target="http://oscqr.org/standard10/" TargetMode="External"/><Relationship Id="rId23" Type="http://schemas.openxmlformats.org/officeDocument/2006/relationships/hyperlink" Target="http://oscqr.org/standard18/" TargetMode="External"/><Relationship Id="rId28" Type="http://schemas.openxmlformats.org/officeDocument/2006/relationships/hyperlink" Target="http://oscqr.org/standard23/" TargetMode="External"/><Relationship Id="rId36" Type="http://schemas.openxmlformats.org/officeDocument/2006/relationships/hyperlink" Target="http://oscqr.org/standard31/" TargetMode="External"/><Relationship Id="rId49" Type="http://schemas.openxmlformats.org/officeDocument/2006/relationships/hyperlink" Target="http://oscqr.org/standard44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oscqr.org/standard5/" TargetMode="External"/><Relationship Id="rId31" Type="http://schemas.openxmlformats.org/officeDocument/2006/relationships/hyperlink" Target="http://oscqr.org/standard26/" TargetMode="External"/><Relationship Id="rId44" Type="http://schemas.openxmlformats.org/officeDocument/2006/relationships/hyperlink" Target="http://oscqr.org/standard39/" TargetMode="External"/><Relationship Id="rId52" Type="http://schemas.openxmlformats.org/officeDocument/2006/relationships/hyperlink" Target="http://oscqr.org/standard47/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scqr.org/standard4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commons.suny.edu/cote/" TargetMode="External"/><Relationship Id="rId5" Type="http://schemas.openxmlformats.org/officeDocument/2006/relationships/hyperlink" Target="https://creativecommons.org/licenses/by/4.0/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1291</Words>
  <Characters>8397</Characters>
  <Application>Microsoft Office Word</Application>
  <DocSecurity>0</DocSecurity>
  <Lines>4198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Epp, Jordan</cp:lastModifiedBy>
  <cp:revision>2</cp:revision>
  <dcterms:created xsi:type="dcterms:W3CDTF">2020-05-22T14:48:00Z</dcterms:created>
  <dcterms:modified xsi:type="dcterms:W3CDTF">2020-05-22T14:48:00Z</dcterms:modified>
</cp:coreProperties>
</file>